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53D0" w14:textId="216EA538" w:rsidR="009A633C" w:rsidRPr="003C02B4" w:rsidRDefault="00573740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10. </w:t>
      </w:r>
      <w:r w:rsidR="009A633C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REQUISITOS MÍNIMOS DA CONVENÇÃO DE CONDOMÍNIO EDILÍCIO</w:t>
      </w:r>
    </w:p>
    <w:p w14:paraId="35E9EBEF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convenção, que poderá ser feita por escritura pública ou por instrumento particular, além das cláusulas que os interessados houverem por bem estipular, determinará obrigatoriamente:</w:t>
      </w:r>
    </w:p>
    <w:p w14:paraId="6A0CF030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DISPOSIÇÕES GERAIS</w:t>
      </w:r>
    </w:p>
    <w:p w14:paraId="0D675368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discriminação e individualização das unidades de propriedade exclusiva, estremadas uma das outras e das partes comuns;</w:t>
      </w:r>
    </w:p>
    <w:p w14:paraId="4FF77AD2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II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determinação da fração ideal atribuída a cada unidade, relativamente ao terreno e partes comuns;</w:t>
      </w:r>
    </w:p>
    <w:p w14:paraId="642FB369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– o fim a que as unidades se destinam.</w:t>
      </w:r>
    </w:p>
    <w:p w14:paraId="1502BD48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IV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quota proporcional e o modo de pagamento das contribuições dos condôminos para atender às despesas ordinárias e extraordinárias do condomínio;</w:t>
      </w:r>
    </w:p>
    <w:p w14:paraId="2524297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sua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forma de administração;</w:t>
      </w:r>
    </w:p>
    <w:p w14:paraId="7758219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VI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competência das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assembléias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forma de sua convocação e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quorum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exigido para as deliberações;</w:t>
      </w:r>
    </w:p>
    <w:p w14:paraId="0B0E33E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VII – as sanções a que estão sujeitos os condôminos, ou possuidores;</w:t>
      </w:r>
    </w:p>
    <w:p w14:paraId="3AEA748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VIII – o regimento interno.</w:t>
      </w:r>
    </w:p>
    <w:p w14:paraId="4F85DED9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DOS CONDÔMINOS</w:t>
      </w:r>
    </w:p>
    <w:p w14:paraId="5DC30951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IX – Informar os direitos do condômino, entre eles:</w:t>
      </w:r>
    </w:p>
    <w:p w14:paraId="1E494424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usar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fruir e livremente dispor das suas unidades;</w:t>
      </w:r>
    </w:p>
    <w:p w14:paraId="7BC7D923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 – usar das partes comuns, conforme a sua destinação, e contanto que não exclua a utilização dos demais compossuidores;</w:t>
      </w:r>
    </w:p>
    <w:p w14:paraId="3CE21F88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 – votar nas deliberações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delas participar, estando quite.</w:t>
      </w:r>
    </w:p>
    <w:p w14:paraId="49E07C26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 – Informar os deveres do condômino, entre eles:</w:t>
      </w:r>
    </w:p>
    <w:p w14:paraId="44078C2E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contribuir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para as despesas do condomínio na proporção das suas frações ideais, salvo disposição em contrário na convenção;</w:t>
      </w:r>
    </w:p>
    <w:p w14:paraId="70999A66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 – não realizar obras que comprometam a segurança da edificação;</w:t>
      </w:r>
    </w:p>
    <w:p w14:paraId="4FC52527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 – não alterar a forma e a cor da fachada, das partes e esquadrias externas;</w:t>
      </w:r>
    </w:p>
    <w:p w14:paraId="592F2AC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d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às suas partes a mesma destinação que tem a edificação, e não as utilizar de maneira prejudicial ao sossego, salubridade e segurança dos possuidores, ou aos bons costumes.</w:t>
      </w:r>
    </w:p>
    <w:p w14:paraId="0189C7F4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XI – O condômino que não pagar a sua contribuição ficará sujeito aos juros moratórios convencionados ou, não sendo previstos, os de um por cento ao mês e multa de até dois por cento sobre o débito.</w:t>
      </w:r>
    </w:p>
    <w:p w14:paraId="1DC88813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XII – O condômino, que não cumprir qualquer dos deveres estabelecidos nas letras ‘b’ a ‘d’ do inciso X, pagará a multa prevista na convenção, não podendo ela ser superior a cinco vezes o valor de suas contribuições mensais, independentemente das perdas e danos que se apurarem; não havendo disposição expressa, caberá à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geral, por dois terços no mínimo dos condôminos restantes, deliberar sobre a cobrança da multa.</w:t>
      </w:r>
    </w:p>
    <w:p w14:paraId="31190FB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XIII – O condômino, ou possuidor, que não cumpre reiteradamente com os seus deveres perante o condomínio poderá, por deliberação de três quartos dos condôminos restantes, ser constrangido a pagar multa correspondente até ao quíntuplo do valor atribuído à contribuição para as despesas condominiais, conforme a gravidade das faltas e a reiteração, independentemente das perdas e danos que se apurem.</w:t>
      </w:r>
    </w:p>
    <w:p w14:paraId="297D3B36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XIV – O condômino ou possuidor que, por seu reiterado comportamento </w:t>
      </w:r>
      <w:proofErr w:type="spellStart"/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anti-social</w:t>
      </w:r>
      <w:proofErr w:type="spellEnd"/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gerar incompatibilidade de convivência com os demais condôminos ou possuidores, poderá ser constrangido a pagar multa correspondente ao décuplo do valor atribuído à contribuição para as despesas condominiais, até ulterior deliberação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44554046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XV – Resolvendo o condômino alugar área no abrigo para veículos, preferir-se-á, em condições iguais, qualquer dos condôminos a estranhos, e, entre todos, os possuidores.</w:t>
      </w:r>
    </w:p>
    <w:p w14:paraId="158FA1B9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XVI – Os direitos de cada condômino às partes comuns são inseparáveis de sua propriedade exclusiva; são também inseparáveis das frações ideais correspondentes as unidades imobiliárias, com as suas partes acessórias.</w:t>
      </w:r>
    </w:p>
    <w:p w14:paraId="423C01B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– Nos casos deste inciso é proibido alienar ou gravar os bens em separado.</w:t>
      </w:r>
    </w:p>
    <w:p w14:paraId="131B66B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 – É permitido ao condômino alienar parte acessória de sua unidade imobiliária a outro condômino, só podendo fazê-lo a terceiro se essa faculdade constar do ato constitutivo do condomínio, e se a ela não se opuser a respectiva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geral.</w:t>
      </w:r>
    </w:p>
    <w:p w14:paraId="1D41012E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XVII – As despesas relativas a partes comuns de uso exclusivo de um condômino, ou de alguns deles, incumbem a quem delas se serve.</w:t>
      </w:r>
    </w:p>
    <w:p w14:paraId="61D7151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DISPOSIÇÕES ESPECIAIS </w:t>
      </w:r>
    </w:p>
    <w:p w14:paraId="13518D05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XVIII – A realização de obras no condomínio depende:</w:t>
      </w:r>
    </w:p>
    <w:p w14:paraId="3A9BB4F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a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se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voluptuárias, de voto de dois terços dos condôminos;</w:t>
      </w:r>
    </w:p>
    <w:p w14:paraId="027AFBE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 – se úteis, de voto da maioria dos condôminos.</w:t>
      </w:r>
    </w:p>
    <w:p w14:paraId="431F2E14" w14:textId="77777777" w:rsidR="009A633C" w:rsidRPr="003C02B4" w:rsidRDefault="009A633C" w:rsidP="003528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As obras ou reparações necessárias podem ser realizadas, independentemente de autorização, pelo síndico, ou, em caso de omissão ou impedimento deste, por qualquer condômino.</w:t>
      </w:r>
    </w:p>
    <w:p w14:paraId="1E378897" w14:textId="77777777" w:rsidR="009A633C" w:rsidRPr="003C02B4" w:rsidRDefault="009A633C" w:rsidP="003528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Se as obras ou reparos necessários forem urgentes e importarem em despesas excessivas, determinada sua realização, o síndico ou o condômino que tomou a iniciativa delas dará ciência à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que deverá ser convocada imediatamente.</w:t>
      </w:r>
    </w:p>
    <w:p w14:paraId="537FD2BC" w14:textId="77777777" w:rsidR="009A633C" w:rsidRPr="003C02B4" w:rsidRDefault="009A633C" w:rsidP="003528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Não sendo urgentes, as obras ou reparos necessários, que importarem em despesas excessivas, somente poderão ser efetuadas após autorização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especialmente convocada pelo síndico, ou, em caso de omissão ou impedimento deste, por qualquer dos condôminos.</w:t>
      </w:r>
    </w:p>
    <w:p w14:paraId="69C453E1" w14:textId="77777777" w:rsidR="009A633C" w:rsidRPr="003C02B4" w:rsidRDefault="009A633C" w:rsidP="003528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4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– O condômino que realizar obras ou reparos necessários será reembolsado das despesas que efetuar, não tendo direito à restituição das que fizer com obras ou reparos de outra natureza, embora de interesse comum.</w:t>
      </w:r>
    </w:p>
    <w:p w14:paraId="2BD2D9E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XIX – A realização de obras, em partes comuns, em acréscimo às já existentes, a fim de lhes facilitar ou aumentar a utilização, depende da aprovação de dois terços dos votos dos condôminos, não sendo permitidas construções, nas partes comuns, suscetíveis de prejudicar a utilização, por qualquer dos condôminos, das partes próprias, ou comuns.</w:t>
      </w:r>
    </w:p>
    <w:p w14:paraId="52FEFDE3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XX – A construção de outro pavimento, ou, no solo comum, de outro edifício, destinado a conter novas unidades imobiliárias, depende da aprovação da unanimidade dos condôminos.</w:t>
      </w:r>
    </w:p>
    <w:p w14:paraId="1B5ECE6D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XXI – Ao proprietário do terraço de cobertura incumbem as despesas da sua conservação, de modo que não haja danos às unidades imobiliárias inferiores.</w:t>
      </w:r>
    </w:p>
    <w:p w14:paraId="1F21E0B9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XXII – É obrigatório o seguro de toda a edificação contra o risco de incêndio ou destruição, total ou parcial.</w:t>
      </w:r>
    </w:p>
    <w:p w14:paraId="71B6EABA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 ADMINISTRAÇÃO DO CONDOMÍNIO</w:t>
      </w:r>
    </w:p>
    <w:p w14:paraId="1157D364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XXIII –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escolherá um síndico, que poderá não ser condômino, para administrar o condomínio, por prazo não superior a dois anos, o qual poderá renovar-se.</w:t>
      </w:r>
    </w:p>
    <w:p w14:paraId="71555381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XXIV – Compete ao síndico:</w:t>
      </w:r>
    </w:p>
    <w:p w14:paraId="71717432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convocar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condôminos;</w:t>
      </w:r>
    </w:p>
    <w:p w14:paraId="28839794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b – representar, ativa e passivamente, o condomínio, praticando, em juízo ou fora dele, os atos necessários à defesa dos interesses comuns;</w:t>
      </w:r>
    </w:p>
    <w:p w14:paraId="5B5AD484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 – dar imediato conhecimento à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da existência de procedimento judicial ou administrativo, de interesse do condomínio;</w:t>
      </w:r>
    </w:p>
    <w:p w14:paraId="4697BE4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cumprir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fazer cumprir a convenção, o regimento interno e as determinações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;</w:t>
      </w:r>
    </w:p>
    <w:p w14:paraId="466C2421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diligenciar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 conservação e a guarda das partes comuns e zelar pela prestação dos serviços que interessem aos possuidores;</w:t>
      </w:r>
    </w:p>
    <w:p w14:paraId="3DB2DA82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 – elaborar o orçamento da receita e da despesa relativa a cada ano;</w:t>
      </w:r>
    </w:p>
    <w:p w14:paraId="117582DF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g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cobrar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condôminos as suas contribuições, bem como impor e cobrar as multas devidas;</w:t>
      </w:r>
    </w:p>
    <w:p w14:paraId="642A7017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h – </w:t>
      </w:r>
      <w:proofErr w:type="gram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prestar</w:t>
      </w:r>
      <w:proofErr w:type="gram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contas à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anualmente e quando exigidas;</w:t>
      </w:r>
    </w:p>
    <w:p w14:paraId="4B1AFC58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– realizar o seguro da edificação.</w:t>
      </w:r>
    </w:p>
    <w:p w14:paraId="654F9B93" w14:textId="77777777" w:rsidR="009A633C" w:rsidRPr="003C02B4" w:rsidRDefault="009A633C" w:rsidP="003528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Poderá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investir outra pessoa, em lugar do síndico, em poderes de representação.</w:t>
      </w:r>
    </w:p>
    <w:p w14:paraId="3A104DEA" w14:textId="77777777" w:rsidR="009A633C" w:rsidRPr="003C02B4" w:rsidRDefault="009A633C" w:rsidP="003528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O síndico pode transferir a outrem, total ou parcialmente, os poderes de representação ou as funções administrativas, mediante aprovação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salvo disposição em contrário da convenção.</w:t>
      </w:r>
    </w:p>
    <w:p w14:paraId="1E89D8F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XXV –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especialmente convocada para o fim estabelecido no § 2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do inciso antecedente, poderá, pelo voto da maioria absoluta de seus membros, destituir o síndico que praticar irregularidades, não prestar contas, ou não administrar convenientemente o condomínio.</w:t>
      </w:r>
    </w:p>
    <w:p w14:paraId="29560042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 ASSEMBLÉIA GERAL</w:t>
      </w:r>
    </w:p>
    <w:p w14:paraId="6354AD1B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XXVI – Convocará o síndico, anualmente, reunião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condôminos, na forma prevista na convenção, a fim de aprovar o orçamento das despesas, as contribuições dos condôminos e a prestação de contas, e eventualmente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eleger-lhe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o substituto e alterar o regimento interno.</w:t>
      </w:r>
    </w:p>
    <w:p w14:paraId="4281C970" w14:textId="77777777" w:rsidR="009A633C" w:rsidRPr="003C02B4" w:rsidRDefault="009A633C" w:rsidP="003528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Se o síndico não convocar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um quarto dos condôminos poderá fazê-lo.</w:t>
      </w:r>
    </w:p>
    <w:p w14:paraId="0819A55B" w14:textId="77777777" w:rsidR="009A633C" w:rsidRPr="003C02B4" w:rsidRDefault="009A633C" w:rsidP="003528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</w:t>
      </w:r>
      <w:r w:rsidRPr="003C02B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– Se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não se reunir, o juiz decidirá, a requerimento de qualquer condômino.</w:t>
      </w:r>
    </w:p>
    <w:p w14:paraId="5AE95B77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XXVII – Depende da aprovação de 2/3 (dois terços) dos votos dos condôminos a alteração da convenção; a mudança da destinação do edifício, ou da unidade imobiliária, depende da aprovação pela unanimidade dos condôminos.</w:t>
      </w:r>
    </w:p>
    <w:p w14:paraId="4566C20A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XXVIII – Salvo quando exigido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quorum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especial, as deliberações da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serão tomadas, em primeira convocação, por maioria de votos dos condôminos presentes que representem pelo menos metade das frações ideais.</w:t>
      </w:r>
    </w:p>
    <w:p w14:paraId="122EE35C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Os votos serão proporcionais às frações ideais no solo e nas outras partes comuns pertencentes a cada condômino, salvo disposição diversa da convenção de constituição do condomínio.</w:t>
      </w:r>
    </w:p>
    <w:p w14:paraId="2BD4FF37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XXIX – Em segunda convocação,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poderá deliberar por maioria dos votos dos presentes, salvo quando exigido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quorum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especial.</w:t>
      </w:r>
    </w:p>
    <w:p w14:paraId="254F9CB3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XXX – 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não poderá deliberar se todos os condôminos não forem convocados para a reunião.</w:t>
      </w:r>
    </w:p>
    <w:p w14:paraId="7A3B4FF2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XXXI –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Assembléias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extraordinárias poderão ser convocadas pelo síndico ou por um quarto dos condôminos.</w:t>
      </w:r>
    </w:p>
    <w:p w14:paraId="5076FDB6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XXXII – Poderá haver no condomínio um conselho fiscal, composto de três membros, eleitos pela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assembléia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por prazo não superior a dois anos, ao qual compete dar parecer sobre as contas do síndico.</w:t>
      </w:r>
    </w:p>
    <w:p w14:paraId="7FF00043" w14:textId="77777777" w:rsidR="009A633C" w:rsidRPr="003C02B4" w:rsidRDefault="009A633C" w:rsidP="00352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Fonte: </w:t>
      </w:r>
      <w:proofErr w:type="spellStart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Arts</w:t>
      </w:r>
      <w:proofErr w:type="spellEnd"/>
      <w:r w:rsidRPr="003C02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1.332 a 1.356 CCB e art. 9º e segs. da Lei 4591/64.</w:t>
      </w:r>
    </w:p>
    <w:p w14:paraId="7239D079" w14:textId="77777777" w:rsidR="00954E02" w:rsidRPr="00954E02" w:rsidRDefault="00954E02" w:rsidP="00954E02">
      <w:pPr>
        <w:jc w:val="center"/>
        <w:rPr>
          <w:rFonts w:ascii="Arial" w:hAnsi="Arial"/>
          <w:b/>
          <w:caps/>
        </w:rPr>
      </w:pPr>
      <w:r w:rsidRPr="00954E02">
        <w:rPr>
          <w:rFonts w:ascii="Arial" w:hAnsi="Arial"/>
          <w:b/>
          <w:caps/>
        </w:rPr>
        <w:t>Quóruns de Assembléia:</w:t>
      </w:r>
    </w:p>
    <w:tbl>
      <w:tblPr>
        <w:tblW w:w="9578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519"/>
        <w:gridCol w:w="7059"/>
      </w:tblGrid>
      <w:tr w:rsidR="00954E02" w14:paraId="7A2C33E5" w14:textId="77777777" w:rsidTr="00954E02">
        <w:trPr>
          <w:cantSplit/>
          <w:trHeight w:hRule="exact" w:val="653"/>
        </w:trPr>
        <w:tc>
          <w:tcPr>
            <w:tcW w:w="25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28" w:space="0" w:color="000000"/>
            </w:tcBorders>
          </w:tcPr>
          <w:p w14:paraId="22572129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039FEC61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Comuns</w:t>
            </w:r>
          </w:p>
        </w:tc>
        <w:tc>
          <w:tcPr>
            <w:tcW w:w="70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14:paraId="293BE77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1ª convocação: Maioria dos presentes (desde que haja ½ das frações ideais) (Art. 1352)</w:t>
            </w:r>
          </w:p>
        </w:tc>
      </w:tr>
      <w:tr w:rsidR="00954E02" w14:paraId="113D5E1B" w14:textId="77777777" w:rsidTr="00954E02">
        <w:trPr>
          <w:cantSplit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double" w:sz="28" w:space="0" w:color="000000"/>
            </w:tcBorders>
          </w:tcPr>
          <w:p w14:paraId="0CCFCCB5" w14:textId="77777777" w:rsidR="00954E02" w:rsidRDefault="00954E02" w:rsidP="00C34546"/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double" w:sz="28" w:space="0" w:color="000000"/>
              <w:right w:val="thickThinSmallGap" w:sz="24" w:space="0" w:color="auto"/>
            </w:tcBorders>
          </w:tcPr>
          <w:p w14:paraId="1AED009E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2ª convocação: Maioria dos presentes (qualquer </w:t>
            </w:r>
            <w:proofErr w:type="gramStart"/>
            <w:r>
              <w:rPr>
                <w:rFonts w:ascii="Arial" w:hAnsi="Arial"/>
              </w:rPr>
              <w:t>quórum)  (</w:t>
            </w:r>
            <w:proofErr w:type="gramEnd"/>
            <w:r>
              <w:rPr>
                <w:rFonts w:ascii="Arial" w:hAnsi="Arial"/>
              </w:rPr>
              <w:t>Art.1353)</w:t>
            </w:r>
          </w:p>
        </w:tc>
      </w:tr>
      <w:tr w:rsidR="00954E02" w14:paraId="27CB78FE" w14:textId="77777777" w:rsidTr="00954E02">
        <w:trPr>
          <w:cantSplit/>
          <w:trHeight w:hRule="exact" w:val="792"/>
        </w:trPr>
        <w:tc>
          <w:tcPr>
            <w:tcW w:w="25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28" w:space="0" w:color="000000"/>
            </w:tcBorders>
          </w:tcPr>
          <w:p w14:paraId="7A4FE7D4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667DAEC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7EA78878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Especiais</w:t>
            </w:r>
          </w:p>
        </w:tc>
        <w:tc>
          <w:tcPr>
            <w:tcW w:w="70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7C2B64E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¼ do condomínio – p/ convocar </w:t>
            </w:r>
            <w:proofErr w:type="spellStart"/>
            <w:r>
              <w:rPr>
                <w:rFonts w:ascii="Arial" w:hAnsi="Arial"/>
              </w:rPr>
              <w:t>assembléia</w:t>
            </w:r>
            <w:proofErr w:type="spellEnd"/>
            <w:r>
              <w:rPr>
                <w:rFonts w:ascii="Arial" w:hAnsi="Arial"/>
              </w:rPr>
              <w:t xml:space="preserve"> (Art. </w:t>
            </w:r>
            <w:proofErr w:type="gramStart"/>
            <w:r>
              <w:rPr>
                <w:rFonts w:ascii="Arial" w:hAnsi="Arial"/>
              </w:rPr>
              <w:t>1350,§</w:t>
            </w:r>
            <w:proofErr w:type="gramEnd"/>
            <w:r>
              <w:rPr>
                <w:rFonts w:ascii="Arial" w:hAnsi="Arial"/>
              </w:rPr>
              <w:t>1º)</w:t>
            </w:r>
          </w:p>
        </w:tc>
      </w:tr>
      <w:tr w:rsidR="00954E02" w14:paraId="4CB38513" w14:textId="77777777" w:rsidTr="00954E02">
        <w:trPr>
          <w:cantSplit/>
          <w:trHeight w:hRule="exact" w:val="841"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double" w:sz="28" w:space="0" w:color="000000"/>
            </w:tcBorders>
          </w:tcPr>
          <w:p w14:paraId="43ED7839" w14:textId="77777777" w:rsidR="00954E02" w:rsidRDefault="00954E02" w:rsidP="00C34546"/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0829F548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Maioria dos presentes à </w:t>
            </w:r>
            <w:proofErr w:type="spellStart"/>
            <w:r>
              <w:rPr>
                <w:rFonts w:ascii="Arial" w:hAnsi="Arial"/>
              </w:rPr>
              <w:t>assembléia</w:t>
            </w:r>
            <w:proofErr w:type="spellEnd"/>
            <w:r>
              <w:rPr>
                <w:rFonts w:ascii="Arial" w:hAnsi="Arial"/>
              </w:rPr>
              <w:t xml:space="preserve"> – destituição do síndico (Art. 1349)</w:t>
            </w:r>
          </w:p>
        </w:tc>
      </w:tr>
      <w:tr w:rsidR="00954E02" w14:paraId="714D4AEB" w14:textId="77777777" w:rsidTr="00954E02">
        <w:trPr>
          <w:cantSplit/>
          <w:trHeight w:hRule="exact" w:val="1000"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double" w:sz="28" w:space="0" w:color="000000"/>
            </w:tcBorders>
          </w:tcPr>
          <w:p w14:paraId="1E051367" w14:textId="77777777" w:rsidR="00954E02" w:rsidRDefault="00954E02" w:rsidP="00C34546"/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43C626A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-Maioria das frações ideais- (Art. 1357) reconstrução ou venda</w:t>
            </w:r>
          </w:p>
          <w:p w14:paraId="23C63634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-(Art. </w:t>
            </w:r>
            <w:proofErr w:type="gramStart"/>
            <w:r>
              <w:rPr>
                <w:rFonts w:ascii="Arial" w:hAnsi="Arial"/>
              </w:rPr>
              <w:t>1341,II</w:t>
            </w:r>
            <w:proofErr w:type="gramEnd"/>
            <w:r>
              <w:rPr>
                <w:rFonts w:ascii="Arial" w:hAnsi="Arial"/>
              </w:rPr>
              <w:t>) execução de obras úteis</w:t>
            </w:r>
          </w:p>
          <w:p w14:paraId="061A38B1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36FDA2F0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3B60935A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0301A616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</w:tc>
      </w:tr>
      <w:tr w:rsidR="00954E02" w14:paraId="056981F2" w14:textId="77777777" w:rsidTr="00954E02">
        <w:trPr>
          <w:cantSplit/>
          <w:trHeight w:hRule="exact" w:val="1837"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double" w:sz="28" w:space="0" w:color="000000"/>
            </w:tcBorders>
          </w:tcPr>
          <w:p w14:paraId="3D400AAA" w14:textId="77777777" w:rsidR="00954E02" w:rsidRDefault="00954E02" w:rsidP="00C34546"/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thinThickSmallGap" w:sz="24" w:space="0" w:color="auto"/>
            </w:tcBorders>
          </w:tcPr>
          <w:p w14:paraId="5CE5FEE3" w14:textId="77777777" w:rsidR="00954E02" w:rsidRDefault="00954E02" w:rsidP="00954E02">
            <w:pPr>
              <w:numPr>
                <w:ilvl w:val="0"/>
                <w:numId w:val="3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2/3 – Art. 1333 – aprovação da convenção</w:t>
            </w:r>
          </w:p>
          <w:p w14:paraId="7E703037" w14:textId="77777777" w:rsidR="00954E02" w:rsidRDefault="00954E02" w:rsidP="00C34546">
            <w:pPr>
              <w:snapToGrid w:val="0"/>
              <w:ind w:left="432"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Art. 1351, §1º – alteração da convenção</w:t>
            </w:r>
          </w:p>
          <w:p w14:paraId="30F6A172" w14:textId="77777777" w:rsidR="00954E02" w:rsidRDefault="00954E02" w:rsidP="00C34546">
            <w:pPr>
              <w:snapToGrid w:val="0"/>
              <w:ind w:left="432"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Art. 1336, §2º – aplicação de multa</w:t>
            </w:r>
          </w:p>
          <w:p w14:paraId="009C68D0" w14:textId="77777777" w:rsidR="00954E02" w:rsidRDefault="00954E02" w:rsidP="00C34546">
            <w:pPr>
              <w:snapToGrid w:val="0"/>
              <w:ind w:left="432"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Art. 1341, I – execução de obras voluptuárias</w:t>
            </w:r>
          </w:p>
          <w:p w14:paraId="0B6D913D" w14:textId="77777777" w:rsidR="00954E02" w:rsidRDefault="00954E02" w:rsidP="00C34546">
            <w:pPr>
              <w:snapToGrid w:val="0"/>
              <w:ind w:left="432"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Art. 1342 – realização de obras em partes comuns</w:t>
            </w:r>
          </w:p>
        </w:tc>
      </w:tr>
      <w:tr w:rsidR="00954E02" w14:paraId="7FB261BC" w14:textId="77777777" w:rsidTr="00954E02">
        <w:trPr>
          <w:cantSplit/>
          <w:trHeight w:hRule="exact" w:val="842"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double" w:sz="28" w:space="0" w:color="000000"/>
            </w:tcBorders>
          </w:tcPr>
          <w:p w14:paraId="3BAAC30B" w14:textId="77777777" w:rsidR="00954E02" w:rsidRDefault="00954E02" w:rsidP="00C34546"/>
        </w:tc>
        <w:tc>
          <w:tcPr>
            <w:tcW w:w="7059" w:type="dxa"/>
            <w:tcBorders>
              <w:left w:val="single" w:sz="1" w:space="0" w:color="000000"/>
              <w:bottom w:val="single" w:sz="1" w:space="0" w:color="000000"/>
              <w:right w:val="thinThickSmallGap" w:sz="24" w:space="0" w:color="auto"/>
            </w:tcBorders>
          </w:tcPr>
          <w:p w14:paraId="21095FF1" w14:textId="77777777" w:rsidR="00954E02" w:rsidRDefault="00954E02" w:rsidP="00954E02">
            <w:pPr>
              <w:numPr>
                <w:ilvl w:val="0"/>
                <w:numId w:val="3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¾  -</w:t>
            </w:r>
            <w:proofErr w:type="gramEnd"/>
            <w:r>
              <w:rPr>
                <w:rFonts w:ascii="Arial" w:hAnsi="Arial"/>
              </w:rPr>
              <w:t xml:space="preserve"> Art. 1337 – penalidade</w:t>
            </w:r>
          </w:p>
        </w:tc>
      </w:tr>
      <w:tr w:rsidR="00954E02" w14:paraId="785CF7B2" w14:textId="77777777" w:rsidTr="00954E02">
        <w:trPr>
          <w:cantSplit/>
          <w:trHeight w:val="739"/>
        </w:trPr>
        <w:tc>
          <w:tcPr>
            <w:tcW w:w="2519" w:type="dxa"/>
            <w:vMerge/>
            <w:tcBorders>
              <w:top w:val="double" w:sz="20" w:space="0" w:color="000000"/>
              <w:left w:val="thinThickSmallGap" w:sz="24" w:space="0" w:color="auto"/>
              <w:bottom w:val="thinThickSmallGap" w:sz="24" w:space="0" w:color="auto"/>
            </w:tcBorders>
          </w:tcPr>
          <w:p w14:paraId="795C6A8C" w14:textId="77777777" w:rsidR="00954E02" w:rsidRDefault="00954E02" w:rsidP="00C34546"/>
        </w:tc>
        <w:tc>
          <w:tcPr>
            <w:tcW w:w="7059" w:type="dxa"/>
            <w:tcBorders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6970636F" w14:textId="77777777" w:rsidR="00954E02" w:rsidRDefault="00954E02" w:rsidP="00C34546">
            <w:pPr>
              <w:tabs>
                <w:tab w:val="left" w:pos="-120"/>
                <w:tab w:val="left" w:pos="-60"/>
                <w:tab w:val="left" w:pos="-40"/>
                <w:tab w:val="left" w:pos="-20"/>
              </w:tabs>
              <w:snapToGrid w:val="0"/>
              <w:ind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>-Unânime – Art. 1351, 2ª parte – mudar a destinação</w:t>
            </w:r>
          </w:p>
          <w:p w14:paraId="17A38CCB" w14:textId="77777777" w:rsidR="00954E02" w:rsidRDefault="00954E02" w:rsidP="00C34546">
            <w:pPr>
              <w:snapToGrid w:val="0"/>
              <w:ind w:left="272" w:right="-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- Art. 1343   - construção de outro pavimento</w:t>
            </w:r>
          </w:p>
        </w:tc>
      </w:tr>
    </w:tbl>
    <w:p w14:paraId="21977176" w14:textId="77777777" w:rsidR="00954E02" w:rsidRDefault="00954E02" w:rsidP="00954E02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</w:t>
      </w:r>
    </w:p>
    <w:p w14:paraId="49E870D7" w14:textId="77777777" w:rsidR="00954E02" w:rsidRDefault="00954E02" w:rsidP="00954E02">
      <w:pPr>
        <w:jc w:val="center"/>
        <w:rPr>
          <w:rFonts w:ascii="Arial" w:hAnsi="Arial"/>
          <w:b/>
          <w:bCs/>
          <w:caps/>
          <w:u w:val="single"/>
        </w:rPr>
      </w:pPr>
      <w:r w:rsidRPr="001C76CE">
        <w:rPr>
          <w:rFonts w:ascii="Arial" w:hAnsi="Arial"/>
          <w:b/>
          <w:bCs/>
          <w:caps/>
          <w:u w:val="single"/>
        </w:rPr>
        <w:t>Sanções</w:t>
      </w:r>
      <w:r>
        <w:rPr>
          <w:rFonts w:ascii="Arial" w:hAnsi="Arial"/>
          <w:b/>
          <w:bCs/>
          <w:caps/>
          <w:u w:val="single"/>
        </w:rPr>
        <w:t>:</w:t>
      </w:r>
    </w:p>
    <w:p w14:paraId="753DD20D" w14:textId="77777777" w:rsidR="00954E02" w:rsidRPr="001C76CE" w:rsidRDefault="00954E02" w:rsidP="00954E02">
      <w:pPr>
        <w:jc w:val="center"/>
        <w:rPr>
          <w:rFonts w:ascii="Arial" w:hAnsi="Arial"/>
          <w:b/>
          <w:bCs/>
          <w:caps/>
          <w:u w:val="single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2499"/>
        <w:gridCol w:w="7189"/>
      </w:tblGrid>
      <w:tr w:rsidR="00954E02" w14:paraId="4C37D175" w14:textId="77777777" w:rsidTr="00C34546">
        <w:trPr>
          <w:cantSplit/>
          <w:trHeight w:hRule="exact" w:val="575"/>
        </w:trPr>
        <w:tc>
          <w:tcPr>
            <w:tcW w:w="249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28" w:space="0" w:color="000000"/>
            </w:tcBorders>
          </w:tcPr>
          <w:p w14:paraId="5FB036C7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06326C74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577750C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Inadimplência</w:t>
            </w:r>
          </w:p>
          <w:p w14:paraId="17634D7F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Art. 1336, § 1º</w:t>
            </w:r>
          </w:p>
        </w:tc>
        <w:tc>
          <w:tcPr>
            <w:tcW w:w="718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57A0BB21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- 2% - multa moratória</w:t>
            </w:r>
          </w:p>
        </w:tc>
      </w:tr>
      <w:tr w:rsidR="00954E02" w14:paraId="2DFC1EFA" w14:textId="77777777" w:rsidTr="00C34546">
        <w:trPr>
          <w:cantSplit/>
          <w:trHeight w:hRule="exact" w:val="845"/>
        </w:trPr>
        <w:tc>
          <w:tcPr>
            <w:tcW w:w="2499" w:type="dxa"/>
            <w:vMerge/>
            <w:tcBorders>
              <w:top w:val="double" w:sz="20" w:space="0" w:color="000000"/>
              <w:left w:val="thickThinSmallGap" w:sz="24" w:space="0" w:color="auto"/>
              <w:bottom w:val="double" w:sz="28" w:space="0" w:color="000000"/>
            </w:tcBorders>
          </w:tcPr>
          <w:p w14:paraId="146B41A2" w14:textId="77777777" w:rsidR="00954E02" w:rsidRDefault="00954E02" w:rsidP="00C34546"/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71C1AC4E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- 1</w:t>
            </w:r>
            <w:proofErr w:type="gramStart"/>
            <w:r>
              <w:rPr>
                <w:rFonts w:ascii="Arial" w:hAnsi="Arial"/>
              </w:rPr>
              <w:t>%  ao</w:t>
            </w:r>
            <w:proofErr w:type="gramEnd"/>
            <w:r>
              <w:rPr>
                <w:rFonts w:ascii="Arial" w:hAnsi="Arial"/>
              </w:rPr>
              <w:t xml:space="preserve"> mês - juros</w:t>
            </w:r>
          </w:p>
        </w:tc>
      </w:tr>
      <w:tr w:rsidR="00954E02" w14:paraId="743C0960" w14:textId="77777777" w:rsidTr="00C34546">
        <w:trPr>
          <w:cantSplit/>
        </w:trPr>
        <w:tc>
          <w:tcPr>
            <w:tcW w:w="2499" w:type="dxa"/>
            <w:vMerge/>
            <w:tcBorders>
              <w:top w:val="double" w:sz="20" w:space="0" w:color="000000"/>
              <w:left w:val="thickThinSmallGap" w:sz="24" w:space="0" w:color="auto"/>
              <w:bottom w:val="double" w:sz="28" w:space="0" w:color="000000"/>
            </w:tcBorders>
          </w:tcPr>
          <w:p w14:paraId="3C3D335D" w14:textId="77777777" w:rsidR="00954E02" w:rsidRDefault="00954E02" w:rsidP="00C34546"/>
        </w:tc>
        <w:tc>
          <w:tcPr>
            <w:tcW w:w="7189" w:type="dxa"/>
            <w:tcBorders>
              <w:left w:val="single" w:sz="4" w:space="0" w:color="000000"/>
              <w:bottom w:val="double" w:sz="28" w:space="0" w:color="000000"/>
              <w:right w:val="thinThickSmallGap" w:sz="24" w:space="0" w:color="auto"/>
            </w:tcBorders>
          </w:tcPr>
          <w:p w14:paraId="12E848C3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gramStart"/>
            <w:r>
              <w:rPr>
                <w:rFonts w:ascii="Arial" w:hAnsi="Arial"/>
              </w:rPr>
              <w:t>correção</w:t>
            </w:r>
            <w:proofErr w:type="gramEnd"/>
            <w:r>
              <w:rPr>
                <w:rFonts w:ascii="Arial" w:hAnsi="Arial"/>
              </w:rPr>
              <w:t xml:space="preserve"> monetária</w:t>
            </w:r>
          </w:p>
        </w:tc>
      </w:tr>
      <w:tr w:rsidR="00954E02" w14:paraId="2DA217A7" w14:textId="77777777" w:rsidTr="00C34546">
        <w:trPr>
          <w:cantSplit/>
          <w:trHeight w:hRule="exact" w:val="1204"/>
        </w:trPr>
        <w:tc>
          <w:tcPr>
            <w:tcW w:w="2499" w:type="dxa"/>
            <w:tcBorders>
              <w:top w:val="thickThinSmallGap" w:sz="24" w:space="0" w:color="auto"/>
              <w:left w:val="thinThickSmallGap" w:sz="24" w:space="0" w:color="auto"/>
              <w:bottom w:val="double" w:sz="28" w:space="0" w:color="000000"/>
            </w:tcBorders>
          </w:tcPr>
          <w:p w14:paraId="3E408BF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4D46E96F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Até 5 vezes a cota condominial</w:t>
            </w:r>
          </w:p>
        </w:tc>
        <w:tc>
          <w:tcPr>
            <w:tcW w:w="718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34762B94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3472A7F4" w14:textId="5816957B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gramStart"/>
            <w:r>
              <w:rPr>
                <w:rFonts w:ascii="Arial" w:hAnsi="Arial"/>
              </w:rPr>
              <w:t>infração</w:t>
            </w:r>
            <w:proofErr w:type="gramEnd"/>
            <w:r>
              <w:rPr>
                <w:rFonts w:ascii="Arial" w:hAnsi="Arial"/>
              </w:rPr>
              <w:t xml:space="preserve"> dos incisos II, III e IV Art. 1336</w:t>
            </w:r>
          </w:p>
        </w:tc>
      </w:tr>
      <w:tr w:rsidR="00954E02" w14:paraId="2C5FC02A" w14:textId="77777777" w:rsidTr="00C34546">
        <w:trPr>
          <w:cantSplit/>
          <w:trHeight w:hRule="exact" w:val="1424"/>
        </w:trPr>
        <w:tc>
          <w:tcPr>
            <w:tcW w:w="2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E723D9B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3FB23847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Até 10 vezes a cota condominial</w:t>
            </w:r>
          </w:p>
        </w:tc>
        <w:tc>
          <w:tcPr>
            <w:tcW w:w="718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3325D4E2" w14:textId="77777777" w:rsidR="00954E02" w:rsidRDefault="00954E02" w:rsidP="00C34546">
            <w:pPr>
              <w:snapToGrid w:val="0"/>
              <w:rPr>
                <w:rFonts w:ascii="Arial" w:hAnsi="Arial"/>
              </w:rPr>
            </w:pPr>
          </w:p>
          <w:p w14:paraId="4D64BAD1" w14:textId="1B3A87BC" w:rsidR="00954E02" w:rsidRDefault="00954E02" w:rsidP="00C345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gramStart"/>
            <w:r>
              <w:rPr>
                <w:rFonts w:ascii="Arial" w:hAnsi="Arial"/>
              </w:rPr>
              <w:t>comportamento</w:t>
            </w:r>
            <w:proofErr w:type="gramEnd"/>
            <w:r>
              <w:rPr>
                <w:rFonts w:ascii="Arial" w:hAnsi="Arial"/>
              </w:rPr>
              <w:t xml:space="preserve"> antissocial - § único, Art.1337</w:t>
            </w:r>
          </w:p>
        </w:tc>
      </w:tr>
    </w:tbl>
    <w:p w14:paraId="705BD5BC" w14:textId="77777777" w:rsidR="00954E02" w:rsidRDefault="00954E02" w:rsidP="00954E02"/>
    <w:sectPr w:rsidR="00954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3F4C88"/>
    <w:rsid w:val="00414006"/>
    <w:rsid w:val="00414EBD"/>
    <w:rsid w:val="00514059"/>
    <w:rsid w:val="005372E1"/>
    <w:rsid w:val="005563CB"/>
    <w:rsid w:val="00573740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2023-03-20T12:42:00Z</dcterms:created>
  <dcterms:modified xsi:type="dcterms:W3CDTF">2023-03-20T12:42:00Z</dcterms:modified>
</cp:coreProperties>
</file>